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880" w:firstLineChars="200"/>
        <w:jc w:val="center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北京理工大学材料学院研究生国家奖学金</w:t>
      </w:r>
    </w:p>
    <w:p>
      <w:pPr>
        <w:adjustRightInd w:val="0"/>
        <w:snapToGrid w:val="0"/>
        <w:spacing w:line="360" w:lineRule="auto"/>
        <w:ind w:firstLine="880" w:firstLineChars="200"/>
        <w:jc w:val="center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综合测评体系（202</w:t>
      </w: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版)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为了促进研究生培养机制改革，提高研究生培养质量，科学有效地选拔人才，规范选拔工作制度与程序，创造良好的公平竞争环境，特制定该综合测评体系，用于对材料学院在读研究生的综合素质评价。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一、测评原则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综合测评中，应始终坚持如下原则：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（一）测评工作应体现其在学业、研究和公共服务等方面的表现；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测评工作应坚持公开、公平、公正、择优的原则，严格执行国家有关教育法规，杜绝弄虚作假。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二、测评委员会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由学院主要领导担任主任委员，成员包括学院教授委员会或学科责任教授小组代表、研究生教学副院长、主管学生工作的副书记副院长、研究生导师代表、</w:t>
      </w:r>
      <w:r>
        <w:rPr>
          <w:rFonts w:hint="eastAsia" w:ascii="仿宋_GB2312" w:eastAsia="仿宋_GB2312" w:hAnsiTheme="minorEastAsia"/>
          <w:sz w:val="28"/>
          <w:szCs w:val="28"/>
        </w:rPr>
        <w:t>专职学生工作干部、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研究生代表等。测评委员会成员在履行评审工作职责时应遵循平等、回避、公正、保密原则。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三、综合测评计算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（一）计算公式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综合测评成绩=思想品德考核</w:t>
      </w:r>
      <w:r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课程成绩×</w:t>
      </w:r>
      <w:r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%+学术成绩×</w:t>
      </w:r>
      <w:r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%+综合评价×</w:t>
      </w:r>
      <w:r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研究生国家奖学金分数赋值情况如下：</w:t>
      </w:r>
      <w:r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A=0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、B=</w:t>
      </w:r>
      <w:r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、C=20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（二）分值计算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1</w:t>
      </w:r>
      <w:r>
        <w:rPr>
          <w:rFonts w:ascii="仿宋_GB2312" w:eastAsia="仿宋_GB2312" w:hAnsiTheme="minorEastAsia"/>
          <w:b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>思想品德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思想品德考核是各项评奖评优的基本条件，采用</w:t>
      </w:r>
      <w:r>
        <w:rPr>
          <w:rFonts w:hint="eastAsia" w:ascii="仿宋_GB2312" w:eastAsia="仿宋_GB2312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“一票否决制”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由材料学院学生工作办公室负责，主要考察政治素质、品德修养、遵守法律法规与学校、学院规章制度情况和学术行为等方面。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/>
          <w:b/>
          <w:sz w:val="28"/>
          <w:szCs w:val="28"/>
        </w:rPr>
        <w:t>2</w:t>
      </w:r>
      <w:r>
        <w:rPr>
          <w:rFonts w:hint="eastAsia" w:ascii="仿宋_GB2312" w:eastAsia="仿宋_GB2312" w:hAnsiTheme="minorEastAsia"/>
          <w:b/>
          <w:sz w:val="28"/>
          <w:szCs w:val="28"/>
        </w:rPr>
        <w:t>.课程成绩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课程成绩=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eastAsia="仿宋_GB2312"/>
                <w:sz w:val="28"/>
                <w:szCs w:val="28"/>
              </w:rPr>
            </m:ctrlPr>
          </m:naryPr>
          <m:sub>
            <m:ctrlPr>
              <w:rPr>
                <w:rFonts w:ascii="Cambria Math" w:hAnsi="Cambria Math" w:eastAsia="仿宋_GB2312"/>
                <w:sz w:val="28"/>
                <w:szCs w:val="28"/>
              </w:rPr>
            </m:ctrlPr>
          </m:sub>
          <m:sup>
            <m:ctrlPr>
              <w:rPr>
                <w:rFonts w:ascii="Cambria Math" w:hAnsi="Cambria Math" w:eastAsia="仿宋_GB2312"/>
                <w:sz w:val="28"/>
                <w:szCs w:val="28"/>
              </w:rPr>
            </m:ctrlPr>
          </m:sup>
          <m:e>
            <m:r>
              <m:rPr>
                <m:sty m:val="p"/>
              </m:rPr>
              <w:rPr>
                <w:rFonts w:hint="eastAsia" w:ascii="Cambria Math" w:hAnsi="Cambria Math" w:eastAsia="仿宋_GB2312"/>
                <w:sz w:val="28"/>
                <w:szCs w:val="28"/>
              </w:rPr>
              <m:t>公共课成绩×课程学分数</m:t>
            </m:r>
            <m:ctrlPr>
              <w:rPr>
                <w:rFonts w:ascii="Cambria Math" w:hAnsi="Cambria Math" w:eastAsia="仿宋_GB2312"/>
                <w:sz w:val="28"/>
                <w:szCs w:val="28"/>
              </w:rPr>
            </m:ctrlPr>
          </m:e>
        </m:nary>
      </m:oMath>
      <w:r>
        <w:rPr>
          <w:rFonts w:hint="eastAsia" w:ascii="仿宋_GB2312" w:eastAsia="仿宋_GB2312" w:hAnsiTheme="minorEastAsia"/>
          <w:sz w:val="28"/>
          <w:szCs w:val="28"/>
        </w:rPr>
        <w:t>/</w:t>
      </w:r>
      <m:oMath>
        <m:r>
          <m:rPr>
            <m:sty m:val="p"/>
          </m:rPr>
          <w:rPr>
            <w:rFonts w:hint="eastAsia" w:ascii="Cambria Math" w:hAnsi="Cambria Math" w:eastAsia="仿宋_GB2312"/>
            <w:sz w:val="28"/>
            <w:szCs w:val="28"/>
          </w:rPr>
          <m:t>公共课</m:t>
        </m:r>
      </m:oMath>
      <w:r>
        <w:rPr>
          <w:rFonts w:hint="eastAsia" w:ascii="仿宋_GB2312" w:eastAsia="仿宋_GB2312" w:hAnsiTheme="minorEastAsia"/>
          <w:sz w:val="28"/>
          <w:szCs w:val="28"/>
        </w:rPr>
        <w:t>总学分数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公共课成绩以研究生管理系统提供成绩为准，需提供成绩单复印件；英语免修按85分计算。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/>
          <w:b/>
          <w:sz w:val="28"/>
          <w:szCs w:val="28"/>
        </w:rPr>
        <w:t>3</w:t>
      </w:r>
      <w:r>
        <w:rPr>
          <w:rFonts w:hint="eastAsia" w:ascii="仿宋_GB2312" w:eastAsia="仿宋_GB2312" w:hAnsiTheme="minorEastAsia"/>
          <w:b/>
          <w:sz w:val="28"/>
          <w:szCs w:val="28"/>
        </w:rPr>
        <w:t>.学术成绩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学术成绩=EI收录+专利+核心期刊和国际会议+SCI收录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计分标准如下（reply、response等不计入加分）：</w:t>
      </w:r>
    </w:p>
    <w:tbl>
      <w:tblPr>
        <w:tblStyle w:val="6"/>
        <w:tblW w:w="9038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6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EI收录</w:t>
            </w:r>
          </w:p>
        </w:tc>
        <w:tc>
          <w:tcPr>
            <w:tcW w:w="672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每篇加3分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发明专利</w:t>
            </w:r>
          </w:p>
        </w:tc>
        <w:tc>
          <w:tcPr>
            <w:tcW w:w="672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已经获得申请号而没有得到授权号的情况，加分为1分；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已经获得授权号的情况，加分为4分。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软件著作权、实用新型</w:t>
            </w:r>
          </w:p>
        </w:tc>
        <w:tc>
          <w:tcPr>
            <w:tcW w:w="672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已经获得授权号的情况，加分为2分。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核心期刊</w:t>
            </w:r>
          </w:p>
        </w:tc>
        <w:tc>
          <w:tcPr>
            <w:tcW w:w="672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每篇加2分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国际会议</w:t>
            </w:r>
          </w:p>
        </w:tc>
        <w:tc>
          <w:tcPr>
            <w:tcW w:w="672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参与1分，做大会报告2分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SCI收录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期刊分区： </w:t>
            </w:r>
            <w:r>
              <w:fldChar w:fldCharType="begin"/>
            </w:r>
            <w:r>
              <w:instrText xml:space="preserve"> HYPERLINK "http://www.fenqubiao.com/" </w:instrText>
            </w:r>
            <w:r>
              <w:fldChar w:fldCharType="separate"/>
            </w:r>
            <w:r>
              <w:rPr>
                <w:rStyle w:val="8"/>
                <w:rFonts w:hint="eastAsia" w:ascii="仿宋_GB2312" w:eastAsia="仿宋_GB2312" w:hAnsiTheme="minorEastAsia"/>
                <w:sz w:val="28"/>
                <w:szCs w:val="28"/>
              </w:rPr>
              <w:t>http://www.fenqubiao.com/</w:t>
            </w:r>
            <w:r>
              <w:rPr>
                <w:rStyle w:val="8"/>
                <w:rFonts w:hint="eastAsia" w:ascii="仿宋_GB2312" w:eastAsia="仿宋_GB2312" w:hAnsiTheme="minorEastAsia"/>
                <w:sz w:val="28"/>
                <w:szCs w:val="28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，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（用户名：北京理工大学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密码：100081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按照最新年份大类认定）</w:t>
            </w:r>
          </w:p>
        </w:tc>
        <w:tc>
          <w:tcPr>
            <w:tcW w:w="672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I区文章：每篇加10分，影响因子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及以上按15分计算；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II区文章：每篇加6分；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III区文章：每篇加5分；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其他SCI收录文章：每篇加4分；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在Science或Nature杂志上发表文章将视为满分(100分)。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（1）有效文章需要同时符合以下要求：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本人为第一作者，或导师为第一作者而本人为第二作者，共同第一作者或并列第一作者的论文，可视为1/N篇论文（N为共同第一作者或并列第一作者的人数），学生为通讯作者的论文不能视同第一作者；</w:t>
      </w:r>
      <w:r>
        <w:rPr>
          <w:rFonts w:hint="eastAsia" w:ascii="仿宋_GB2312" w:eastAsia="仿宋_GB2312" w:hAnsiTheme="minorEastAsia"/>
          <w:sz w:val="28"/>
          <w:szCs w:val="28"/>
        </w:rPr>
        <w:t>在学术杂志上发表的本专业文章；文章中申请人的所属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第一单位为北京理工大学材料学院</w:t>
      </w:r>
      <w:r>
        <w:rPr>
          <w:rFonts w:hint="eastAsia" w:ascii="仿宋_GB2312" w:eastAsia="仿宋_GB2312" w:hAnsiTheme="minorEastAsia"/>
          <w:sz w:val="28"/>
          <w:szCs w:val="28"/>
        </w:rPr>
        <w:t>；提供发表论文首页复印件。发表时间限定范围以学院通知规定为准。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（2）有效专利需要同时符合以下要求：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本人为专利发明人中排名第一的学生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eastAsia="zh-CN"/>
        </w:rPr>
        <w:t>第一作者为导师、第二作者为本人可视同研究生为第一作者</w:t>
      </w:r>
      <w:r>
        <w:rPr>
          <w:rFonts w:hint="eastAsia" w:ascii="仿宋_GB2312" w:eastAsia="仿宋_GB2312" w:hAnsiTheme="minorEastAsia"/>
          <w:sz w:val="28"/>
          <w:szCs w:val="28"/>
        </w:rPr>
        <w:t>；已获得申请号或授权号；专利所有权所属第一单位为北京理工大学；提供专利证书、授予发明专利权通知书或专利申请受理通知书复印件。有效时间限定范围以学院通知规定为准。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（3）提供证明材料不齐全，对应成果视为无效。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（4）如果所有加分值超过100分，以100分计算。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/>
          <w:b/>
          <w:sz w:val="28"/>
          <w:szCs w:val="28"/>
        </w:rPr>
        <w:t>4</w:t>
      </w:r>
      <w:r>
        <w:rPr>
          <w:rFonts w:hint="eastAsia" w:ascii="仿宋_GB2312" w:eastAsia="仿宋_GB2312" w:hAnsiTheme="minorEastAsia"/>
          <w:b/>
          <w:sz w:val="28"/>
          <w:szCs w:val="28"/>
        </w:rPr>
        <w:t>.综合评价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综合评价=社会工作+课外科技活动和竞赛+荣誉和奖项+其他活动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有明显不良表现者（无故不参加学院相关活动、支部活动等），由材料学院学生工作办公室酌情扣分，并通告其本人。</w:t>
      </w:r>
    </w:p>
    <w:p>
      <w:pPr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（1）社会工作</w:t>
      </w:r>
    </w:p>
    <w:tbl>
      <w:tblPr>
        <w:tblStyle w:val="6"/>
        <w:tblpPr w:leftFromText="180" w:rightFromText="180" w:vertAnchor="text" w:horzAnchor="margin" w:tblpXSpec="center" w:tblpY="342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1"/>
        <w:gridCol w:w="1973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岗位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加分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相关负责人签字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兼职辅导员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6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学生工作组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研究生会主席、院团委学生副书记、学院青年团校学生秘书长、求实学会会长、学生科协会长、青年志愿者协会会长、学院党校部门负责人、宣传中心负责人等学生组织负责人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5分（副职3分）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学生工作组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各学生组织的部门负责人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分（副职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1.5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分）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各学生组织负责人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各学生组织干事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1分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各学生组织负责人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班长、党支部书记、团支部书记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4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分（副职1.5分）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其他班委成员</w:t>
            </w:r>
          </w:p>
        </w:tc>
        <w:tc>
          <w:tcPr>
            <w:tcW w:w="197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1分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党支部书记、班长、团支书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以班级评定小组为单位，提交</w:t>
      </w:r>
      <w:r>
        <w:rPr>
          <w:rFonts w:hint="eastAsia" w:ascii="仿宋_GB2312" w:eastAsia="仿宋_GB2312" w:hAnsiTheme="minorEastAsia"/>
          <w:b/>
          <w:bCs/>
          <w:sz w:val="28"/>
          <w:szCs w:val="28"/>
        </w:rPr>
        <w:t>《北京理工大学材料学院学生干部任职考核表》</w:t>
      </w:r>
      <w:r>
        <w:rPr>
          <w:rFonts w:hint="eastAsia" w:ascii="仿宋_GB2312" w:eastAsia="仿宋_GB2312" w:hAnsiTheme="minorEastAsia"/>
          <w:sz w:val="28"/>
          <w:szCs w:val="28"/>
        </w:rPr>
        <w:t>，由材料学院学生工作办公室进行系数评定。评定分为优秀、合格、不合格三档，分别乘以系数1.2、1、0.6，评定优秀者原则上不超过评定总数的20%，工作不满一年的同学在满分上乘以相应的时间系数。特殊情况酌情考虑。</w:t>
      </w:r>
    </w:p>
    <w:p>
      <w:pPr>
        <w:spacing w:line="360" w:lineRule="auto"/>
        <w:ind w:firstLine="560" w:firstLineChars="200"/>
        <w:jc w:val="lef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任职多项可重复加分，最高不超过10分。</w:t>
      </w:r>
    </w:p>
    <w:p>
      <w:pPr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（2）课外科技活动和竞赛</w:t>
      </w:r>
    </w:p>
    <w:tbl>
      <w:tblPr>
        <w:tblStyle w:val="6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3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中国国际“互联网+”大学生创新创业大赛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“挑战杯”全国大学生课外科技作品竞赛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“挑战杯”中国大学生创业计划竞赛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特等奖/金奖：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一等奖/银奖：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铜奖：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三等奖：1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中国国际“互联网+”大学生创新创业大赛（北京赛区）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8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7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“挑战杯”首都大学生课外科技作品竞赛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“挑战杯”首都大学生创业计划竞赛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特等奖：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8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7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6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中国国际“互联网+”大学生创新创业大赛校内赛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“挑战杯”全国大学生课外科技作品竞赛校内赛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“挑战杯”中国大学生创业计划竞赛校内赛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特等奖/金奖：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一等奖/银奖：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4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铜奖：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评审委员会认可的国家级比赛（个人）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二等奖：9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评审委员会认可的省部级比赛（个人）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8分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6分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评审委员会认可的地市厅局级比赛（个人）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7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4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评审委员会认可的校级比赛（个人）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3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评审委员会认可的院级比赛（个人）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一等奖：2分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二等奖：1分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三等奖：0.5分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3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材料学院研究生学术论坛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学术之星：2分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优秀论文：1分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最佳poster：1分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鼓励奖：0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.8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参与：0.5分</w:t>
            </w:r>
          </w:p>
        </w:tc>
      </w:tr>
    </w:tbl>
    <w:p>
      <w:pPr>
        <w:spacing w:line="360" w:lineRule="auto"/>
        <w:ind w:firstLine="565" w:firstLineChars="202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需提交获奖证明材料；</w:t>
      </w:r>
      <w:r>
        <w:rPr>
          <w:rFonts w:hint="eastAsia" w:ascii="仿宋_GB2312" w:eastAsia="仿宋_GB2312" w:hAnsiTheme="minorEastAsia"/>
          <w:b/>
          <w:sz w:val="28"/>
          <w:szCs w:val="28"/>
        </w:rPr>
        <w:t>团体比赛</w:t>
      </w:r>
      <w:r>
        <w:rPr>
          <w:rFonts w:hint="eastAsia" w:ascii="仿宋_GB2312" w:eastAsia="仿宋_GB2312" w:hAnsiTheme="minorEastAsia"/>
          <w:sz w:val="28"/>
          <w:szCs w:val="28"/>
        </w:rPr>
        <w:t>中，个人得分按照参与排序乘以相应的系数：排序第1名乘以1.0，第2名乘以0.8，第3名乘以0.6，第4名乘以0.4，第5名及以后乘以0.2；团体比赛如无排序则以中位数为准，</w:t>
      </w:r>
      <w:r>
        <w:rPr>
          <w:rFonts w:hint="eastAsia" w:ascii="仿宋_GB2312" w:eastAsia="仿宋_GB2312" w:hAnsiTheme="minorEastAsia"/>
          <w:b/>
          <w:bCs/>
          <w:sz w:val="28"/>
          <w:szCs w:val="28"/>
        </w:rPr>
        <w:t>同一项竞赛同一项目不</w:t>
      </w:r>
      <w:r>
        <w:rPr>
          <w:rFonts w:hint="eastAsia" w:ascii="仿宋_GB2312" w:eastAsia="仿宋_GB2312" w:hAnsiTheme="minorEastAsia"/>
          <w:b/>
          <w:sz w:val="28"/>
          <w:szCs w:val="28"/>
        </w:rPr>
        <w:t>同级别分值不累加</w:t>
      </w:r>
      <w:r>
        <w:rPr>
          <w:rFonts w:hint="eastAsia" w:ascii="仿宋_GB2312" w:eastAsia="仿宋_GB2312" w:hAnsiTheme="minorEastAsia"/>
          <w:sz w:val="28"/>
          <w:szCs w:val="28"/>
        </w:rPr>
        <w:t>。</w:t>
      </w:r>
    </w:p>
    <w:p>
      <w:pPr>
        <w:spacing w:line="360" w:lineRule="auto"/>
        <w:ind w:firstLine="565" w:firstLineChars="202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在中国国际“互联网+”大学生创新创业大赛、“挑战杯”全国大学生课外学术科技作品竞赛</w:t>
      </w:r>
      <w:r>
        <w:rPr>
          <w:rFonts w:hint="eastAsia" w:ascii="仿宋_GB2312" w:eastAsia="仿宋_GB2312" w:hAnsiTheme="minorEastAsia"/>
          <w:b/>
          <w:sz w:val="28"/>
          <w:szCs w:val="28"/>
        </w:rPr>
        <w:t>主赛道</w:t>
      </w:r>
      <w:r>
        <w:rPr>
          <w:rFonts w:hint="eastAsia" w:ascii="仿宋_GB2312" w:eastAsia="仿宋_GB2312" w:hAnsiTheme="minorEastAsia"/>
          <w:sz w:val="28"/>
          <w:szCs w:val="28"/>
        </w:rPr>
        <w:t>中获省部级及以上奖，以1</w:t>
      </w:r>
      <w:r>
        <w:rPr>
          <w:rFonts w:ascii="仿宋_GB2312" w:eastAsia="仿宋_GB2312" w:hAnsiTheme="minorEastAsia"/>
          <w:sz w:val="28"/>
          <w:szCs w:val="28"/>
        </w:rPr>
        <w:t>.5</w:t>
      </w:r>
      <w:r>
        <w:rPr>
          <w:rFonts w:hint="eastAsia" w:ascii="仿宋_GB2312" w:eastAsia="仿宋_GB2312" w:hAnsiTheme="minorEastAsia"/>
          <w:sz w:val="28"/>
          <w:szCs w:val="28"/>
        </w:rPr>
        <w:t>倍计分。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获奖时间、竞赛等级均以获奖证书落款为准。</w:t>
      </w:r>
      <w:r>
        <w:rPr>
          <w:rFonts w:hint="eastAsia" w:ascii="仿宋_GB2312" w:eastAsia="仿宋_GB2312" w:hAnsiTheme="minorEastAsia"/>
          <w:sz w:val="28"/>
          <w:szCs w:val="28"/>
        </w:rPr>
        <w:t>教育部、共青团中央、全国一级学会等主办的全国性赛事认定为国家级，省级单位主办的赛事认定为省部级，北京理工大学举办的赛事认定为校级。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所有加分值之和最多不超过</w:t>
      </w:r>
      <w:r>
        <w:rPr>
          <w:rFonts w:ascii="仿宋_GB2312" w:eastAsia="仿宋_GB2312" w:hAnsiTheme="minorEastAsia"/>
          <w:sz w:val="28"/>
          <w:szCs w:val="28"/>
        </w:rPr>
        <w:t>30</w:t>
      </w:r>
      <w:r>
        <w:rPr>
          <w:rFonts w:hint="eastAsia" w:ascii="仿宋_GB2312" w:eastAsia="仿宋_GB2312" w:hAnsiTheme="minorEastAsia"/>
          <w:sz w:val="28"/>
          <w:szCs w:val="28"/>
        </w:rPr>
        <w:t>分,如有超过按</w:t>
      </w:r>
      <w:r>
        <w:rPr>
          <w:rFonts w:ascii="仿宋_GB2312" w:eastAsia="仿宋_GB2312" w:hAnsiTheme="minorEastAsia"/>
          <w:sz w:val="28"/>
          <w:szCs w:val="28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0分计。</w:t>
      </w:r>
    </w:p>
    <w:p>
      <w:pPr>
        <w:widowControl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（3）荣誉和奖项</w:t>
      </w:r>
    </w:p>
    <w:tbl>
      <w:tblPr>
        <w:tblStyle w:val="6"/>
        <w:tblW w:w="893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评审委员会认可的国家级荣誉和奖项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个人奖：加9分；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集体奖：所在集体所有成员均可加分，所有人加分总和不超过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18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评审委员会认可的省部级荣誉和奖项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（首都大学、中专院校“先锋杯”优秀团员、优秀基层团干部、北京市三好学生）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个人奖：加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6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集体奖：所在集体所有成员均可加分，所有人加分总和不超过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评审委员会认可的地市厅局级荣誉和奖项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个人奖：加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4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集体奖：所在集体所有成员均可加分，所有人加分总和不超过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7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北京理工大学优秀共产党员、十佳团员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加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学校青春榜样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年度榜样：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入围奖：3分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北京理工大学优秀研究生标兵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加3分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北京理工大学优秀研究生干部、优秀团干部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加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2.5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北京理工大学优秀研究生、优秀团员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加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评审委员会认可的其他校级荣誉和奖项</w:t>
            </w:r>
          </w:p>
        </w:tc>
        <w:tc>
          <w:tcPr>
            <w:tcW w:w="354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个人奖：加2分；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集体奖：所在集体所有成员均可加分，所有人加分总和不超过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</w:tbl>
    <w:p>
      <w:pPr>
        <w:spacing w:line="360" w:lineRule="auto"/>
        <w:ind w:firstLine="562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获奖时间、荣誉等级均以获奖证书落款为准。</w:t>
      </w:r>
      <w:r>
        <w:rPr>
          <w:rFonts w:hint="eastAsia" w:ascii="仿宋_GB2312" w:eastAsia="仿宋_GB2312" w:hAnsiTheme="minorEastAsia"/>
          <w:sz w:val="28"/>
          <w:szCs w:val="28"/>
        </w:rPr>
        <w:t>需提供荣誉和奖项复印件，所有加分值之和最多不超过</w:t>
      </w:r>
      <w:r>
        <w:rPr>
          <w:rFonts w:ascii="仿宋_GB2312" w:eastAsia="仿宋_GB2312" w:hAnsiTheme="minorEastAsia"/>
          <w:sz w:val="28"/>
          <w:szCs w:val="28"/>
        </w:rPr>
        <w:t>10</w:t>
      </w:r>
      <w:r>
        <w:rPr>
          <w:rFonts w:hint="eastAsia" w:ascii="仿宋_GB2312" w:eastAsia="仿宋_GB2312" w:hAnsiTheme="minorEastAsia"/>
          <w:sz w:val="28"/>
          <w:szCs w:val="28"/>
        </w:rPr>
        <w:t>分,如有超过按</w:t>
      </w:r>
      <w:r>
        <w:rPr>
          <w:rFonts w:ascii="仿宋_GB2312" w:eastAsia="仿宋_GB2312" w:hAnsiTheme="minorEastAsia"/>
          <w:sz w:val="28"/>
          <w:szCs w:val="28"/>
        </w:rPr>
        <w:t>10</w:t>
      </w:r>
      <w:r>
        <w:rPr>
          <w:rFonts w:hint="eastAsia" w:ascii="仿宋_GB2312" w:eastAsia="仿宋_GB2312" w:hAnsiTheme="minorEastAsia"/>
          <w:sz w:val="28"/>
          <w:szCs w:val="28"/>
        </w:rPr>
        <w:t>分计。</w:t>
      </w:r>
    </w:p>
    <w:p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（4）其他活动</w:t>
      </w:r>
    </w:p>
    <w:tbl>
      <w:tblPr>
        <w:tblStyle w:val="6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8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参与重大专项活动，训练时长不低于20小时（如：庆祝中国共产党成立一百周年活动）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每次加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根据学院安排，</w:t>
            </w: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代表学院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参加校级及其以上单位组织的比赛，训练时长不低于2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小时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（如 “一二.九”合唱比赛、“五四”舞蹈展演、“共青杯”篮球赛、“共青杯”足球赛、校庆表演等）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每次加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根据学院安排，</w:t>
            </w: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代表学院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参加校级及其以上单位组织的比赛</w:t>
            </w:r>
          </w:p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（如学校研究生辩论赛、时事论坛、征文比赛、科普宣讲比赛等）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每次加0.5分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根据学院安排，参与学院及以上单位组织的各项活动（如“百家大讲堂”、“材满今宵晚会”、“材来材往”、“材思广益”、相关讲座、参观活动、学习活动等）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每次加0.1分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参与相关志愿活动</w:t>
            </w:r>
          </w:p>
        </w:tc>
        <w:tc>
          <w:tcPr>
            <w:tcW w:w="158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每满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4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小时加0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.2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分，不超过2分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以上加分为参与分，获奖加分可参考课外科技活动和竞赛，</w:t>
      </w:r>
      <w:r>
        <w:rPr>
          <w:rFonts w:hint="eastAsia" w:ascii="仿宋_GB2312" w:eastAsia="仿宋_GB2312" w:hAnsiTheme="minorEastAsia"/>
          <w:b/>
          <w:sz w:val="28"/>
          <w:szCs w:val="28"/>
        </w:rPr>
        <w:t>同一活动参与/获奖/志愿分值不累加</w:t>
      </w:r>
      <w:r>
        <w:rPr>
          <w:rFonts w:hint="eastAsia" w:ascii="仿宋_GB2312" w:eastAsia="仿宋_GB2312" w:hAnsiTheme="minor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有效活动以材料学院学生工作组认定的活动为准，最终解释权归材料学院学生工作组所有。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所有加分值之和最多不超过</w:t>
      </w:r>
      <w:r>
        <w:rPr>
          <w:rFonts w:ascii="仿宋_GB2312" w:eastAsia="仿宋_GB2312" w:hAnsiTheme="minorEastAsia"/>
          <w:sz w:val="28"/>
          <w:szCs w:val="28"/>
        </w:rPr>
        <w:t>10</w:t>
      </w:r>
      <w:r>
        <w:rPr>
          <w:rFonts w:hint="eastAsia" w:ascii="仿宋_GB2312" w:eastAsia="仿宋_GB2312" w:hAnsiTheme="minorEastAsia"/>
          <w:sz w:val="28"/>
          <w:szCs w:val="28"/>
        </w:rPr>
        <w:t>分,如有超过按</w:t>
      </w:r>
      <w:r>
        <w:rPr>
          <w:rFonts w:ascii="仿宋_GB2312" w:eastAsia="仿宋_GB2312" w:hAnsiTheme="minorEastAsia"/>
          <w:sz w:val="28"/>
          <w:szCs w:val="28"/>
        </w:rPr>
        <w:t>10</w:t>
      </w:r>
      <w:r>
        <w:rPr>
          <w:rFonts w:hint="eastAsia" w:ascii="仿宋_GB2312" w:eastAsia="仿宋_GB2312" w:hAnsiTheme="minorEastAsia"/>
          <w:sz w:val="28"/>
          <w:szCs w:val="28"/>
        </w:rPr>
        <w:t>分计。</w:t>
      </w:r>
    </w:p>
    <w:p>
      <w:pPr>
        <w:spacing w:line="360" w:lineRule="auto"/>
        <w:ind w:firstLine="562" w:firstLineChars="201"/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四、其他说明</w:t>
      </w:r>
    </w:p>
    <w:p>
      <w:pPr>
        <w:adjustRightInd w:val="0"/>
        <w:snapToGrid w:val="0"/>
        <w:spacing w:line="360" w:lineRule="auto"/>
        <w:ind w:firstLine="552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（一）在综合测评过程中及结束后，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如果发现申请者提供的申报材料有任何弄虚作假</w:t>
      </w:r>
      <w:r>
        <w:rPr>
          <w:rFonts w:hint="eastAsia"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、违反学术诚信的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行为，将取消该学生一年内的评奖评优资格，并</w:t>
      </w:r>
      <w:r>
        <w:rPr>
          <w:rFonts w:hint="eastAsia"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根据《北京理工大学学生纪律处分条例》进行处理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552" w:firstLineChars="200"/>
        <w:rPr>
          <w:rFonts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（二）本测评规则若与国家或学校相关规定不一致的，以国家或学校的文件为准。</w:t>
      </w:r>
    </w:p>
    <w:p>
      <w:pPr>
        <w:adjustRightInd w:val="0"/>
        <w:snapToGrid w:val="0"/>
        <w:spacing w:line="360" w:lineRule="auto"/>
        <w:ind w:firstLine="552" w:firstLineChars="200"/>
        <w:rPr>
          <w:rFonts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（三）本办法自公布之日起执行，未尽事宜由材料学院负责解释。</w:t>
      </w:r>
    </w:p>
    <w:p>
      <w:pPr>
        <w:adjustRightInd w:val="0"/>
        <w:snapToGrid w:val="0"/>
        <w:spacing w:line="360" w:lineRule="auto"/>
        <w:ind w:firstLine="552" w:firstLineChars="200"/>
        <w:rPr>
          <w:rFonts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Theme="minorEastAsia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材料学院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年9月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附件1：北京理工大学材料学院研究生综合测评体系自评表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附件2：北京理工大学材料学院研究生综合测评体系自评表附件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附件3：北京理工大学材料学院学生干部任职考核表</w:t>
      </w: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0241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N2I0OTNlMDk0ZWVlZjQ2YjcyZDgyMjE4YmU4ZTUifQ=="/>
  </w:docVars>
  <w:rsids>
    <w:rsidRoot w:val="001B61D6"/>
    <w:rsid w:val="00000B88"/>
    <w:rsid w:val="00063732"/>
    <w:rsid w:val="000756FF"/>
    <w:rsid w:val="000825C8"/>
    <w:rsid w:val="00090843"/>
    <w:rsid w:val="000C7C51"/>
    <w:rsid w:val="000D2EF1"/>
    <w:rsid w:val="001026AB"/>
    <w:rsid w:val="00106011"/>
    <w:rsid w:val="0011040F"/>
    <w:rsid w:val="001710DF"/>
    <w:rsid w:val="00174E7F"/>
    <w:rsid w:val="001802AA"/>
    <w:rsid w:val="00195A21"/>
    <w:rsid w:val="001A3BB2"/>
    <w:rsid w:val="001A6B49"/>
    <w:rsid w:val="001B61D6"/>
    <w:rsid w:val="001C34D6"/>
    <w:rsid w:val="001D09FC"/>
    <w:rsid w:val="001D156A"/>
    <w:rsid w:val="001F5EF9"/>
    <w:rsid w:val="002056D3"/>
    <w:rsid w:val="00207E1B"/>
    <w:rsid w:val="002111E4"/>
    <w:rsid w:val="00216A4D"/>
    <w:rsid w:val="0021711E"/>
    <w:rsid w:val="002201C0"/>
    <w:rsid w:val="002226A6"/>
    <w:rsid w:val="00231943"/>
    <w:rsid w:val="00241AD2"/>
    <w:rsid w:val="002449A4"/>
    <w:rsid w:val="00244E7B"/>
    <w:rsid w:val="00244ED5"/>
    <w:rsid w:val="00256CE5"/>
    <w:rsid w:val="00257DC5"/>
    <w:rsid w:val="00273873"/>
    <w:rsid w:val="00275D6A"/>
    <w:rsid w:val="002D6B6B"/>
    <w:rsid w:val="002E3A8B"/>
    <w:rsid w:val="002E5BF3"/>
    <w:rsid w:val="00317604"/>
    <w:rsid w:val="00333761"/>
    <w:rsid w:val="00342EFA"/>
    <w:rsid w:val="00362618"/>
    <w:rsid w:val="003A02EC"/>
    <w:rsid w:val="003A1D9B"/>
    <w:rsid w:val="003F47EE"/>
    <w:rsid w:val="00403BA8"/>
    <w:rsid w:val="0043098B"/>
    <w:rsid w:val="0044115C"/>
    <w:rsid w:val="00482CFE"/>
    <w:rsid w:val="00486BA5"/>
    <w:rsid w:val="00497447"/>
    <w:rsid w:val="004B2565"/>
    <w:rsid w:val="00501566"/>
    <w:rsid w:val="0051363A"/>
    <w:rsid w:val="00520F8C"/>
    <w:rsid w:val="00533580"/>
    <w:rsid w:val="0054506A"/>
    <w:rsid w:val="00563280"/>
    <w:rsid w:val="00591461"/>
    <w:rsid w:val="005926AF"/>
    <w:rsid w:val="005B08B6"/>
    <w:rsid w:val="005B6805"/>
    <w:rsid w:val="005C15ED"/>
    <w:rsid w:val="005C2DA8"/>
    <w:rsid w:val="005C30CB"/>
    <w:rsid w:val="005D412F"/>
    <w:rsid w:val="005E0DDE"/>
    <w:rsid w:val="005E1D7C"/>
    <w:rsid w:val="005E386F"/>
    <w:rsid w:val="005F2138"/>
    <w:rsid w:val="0062376D"/>
    <w:rsid w:val="00663B27"/>
    <w:rsid w:val="006708DE"/>
    <w:rsid w:val="00671005"/>
    <w:rsid w:val="006B30C8"/>
    <w:rsid w:val="006C2906"/>
    <w:rsid w:val="006E100E"/>
    <w:rsid w:val="006F4B5E"/>
    <w:rsid w:val="006F4F73"/>
    <w:rsid w:val="00705E74"/>
    <w:rsid w:val="007208AD"/>
    <w:rsid w:val="0072778E"/>
    <w:rsid w:val="0074464A"/>
    <w:rsid w:val="00750EED"/>
    <w:rsid w:val="00756581"/>
    <w:rsid w:val="00774539"/>
    <w:rsid w:val="00784CEA"/>
    <w:rsid w:val="00794DE6"/>
    <w:rsid w:val="007D0FBE"/>
    <w:rsid w:val="007F32BA"/>
    <w:rsid w:val="007F3430"/>
    <w:rsid w:val="0081472C"/>
    <w:rsid w:val="0081714D"/>
    <w:rsid w:val="008348B5"/>
    <w:rsid w:val="00836E90"/>
    <w:rsid w:val="00855778"/>
    <w:rsid w:val="00856DC5"/>
    <w:rsid w:val="008A2DDD"/>
    <w:rsid w:val="008B273E"/>
    <w:rsid w:val="008E0EDC"/>
    <w:rsid w:val="00903007"/>
    <w:rsid w:val="00992A44"/>
    <w:rsid w:val="009A09C0"/>
    <w:rsid w:val="009A1026"/>
    <w:rsid w:val="009A33F4"/>
    <w:rsid w:val="009B5CDB"/>
    <w:rsid w:val="009B7EBF"/>
    <w:rsid w:val="009E79F6"/>
    <w:rsid w:val="00A104E0"/>
    <w:rsid w:val="00A2325E"/>
    <w:rsid w:val="00A46A13"/>
    <w:rsid w:val="00A80932"/>
    <w:rsid w:val="00A9722B"/>
    <w:rsid w:val="00AA1255"/>
    <w:rsid w:val="00AC7BDD"/>
    <w:rsid w:val="00AD1B18"/>
    <w:rsid w:val="00AE08DF"/>
    <w:rsid w:val="00AE2E04"/>
    <w:rsid w:val="00B0182B"/>
    <w:rsid w:val="00B07F71"/>
    <w:rsid w:val="00B23428"/>
    <w:rsid w:val="00B37E7B"/>
    <w:rsid w:val="00B43B16"/>
    <w:rsid w:val="00B73F79"/>
    <w:rsid w:val="00B845D4"/>
    <w:rsid w:val="00B91368"/>
    <w:rsid w:val="00BD10BC"/>
    <w:rsid w:val="00BE02FF"/>
    <w:rsid w:val="00BE1AD9"/>
    <w:rsid w:val="00C40B5D"/>
    <w:rsid w:val="00C459B4"/>
    <w:rsid w:val="00C51CB2"/>
    <w:rsid w:val="00C52F14"/>
    <w:rsid w:val="00C57A37"/>
    <w:rsid w:val="00C57B9C"/>
    <w:rsid w:val="00C63F0D"/>
    <w:rsid w:val="00C64891"/>
    <w:rsid w:val="00C70749"/>
    <w:rsid w:val="00C7678F"/>
    <w:rsid w:val="00CB428B"/>
    <w:rsid w:val="00CD56F9"/>
    <w:rsid w:val="00CD62AC"/>
    <w:rsid w:val="00CE569F"/>
    <w:rsid w:val="00CE5E32"/>
    <w:rsid w:val="00D03206"/>
    <w:rsid w:val="00D1138B"/>
    <w:rsid w:val="00D1248A"/>
    <w:rsid w:val="00D3186D"/>
    <w:rsid w:val="00D3265B"/>
    <w:rsid w:val="00D37DB3"/>
    <w:rsid w:val="00D82E12"/>
    <w:rsid w:val="00DB3E7E"/>
    <w:rsid w:val="00DE5442"/>
    <w:rsid w:val="00DE7CDC"/>
    <w:rsid w:val="00E77FB0"/>
    <w:rsid w:val="00E84439"/>
    <w:rsid w:val="00EA1067"/>
    <w:rsid w:val="00EB24B8"/>
    <w:rsid w:val="00EC015B"/>
    <w:rsid w:val="00EE601D"/>
    <w:rsid w:val="00EF26A5"/>
    <w:rsid w:val="00EF66FF"/>
    <w:rsid w:val="00F005BD"/>
    <w:rsid w:val="00F16B6D"/>
    <w:rsid w:val="00F20D46"/>
    <w:rsid w:val="00F227E0"/>
    <w:rsid w:val="00F70A74"/>
    <w:rsid w:val="00F73560"/>
    <w:rsid w:val="00F83158"/>
    <w:rsid w:val="00FB3E58"/>
    <w:rsid w:val="00FB4F8C"/>
    <w:rsid w:val="0303654E"/>
    <w:rsid w:val="03515A4C"/>
    <w:rsid w:val="04065EB9"/>
    <w:rsid w:val="058246BD"/>
    <w:rsid w:val="0B4118A6"/>
    <w:rsid w:val="14E367EA"/>
    <w:rsid w:val="1B5E68F5"/>
    <w:rsid w:val="1CA978B6"/>
    <w:rsid w:val="21794D09"/>
    <w:rsid w:val="24B84DF1"/>
    <w:rsid w:val="2726213F"/>
    <w:rsid w:val="27BA4274"/>
    <w:rsid w:val="27E104A0"/>
    <w:rsid w:val="2B2E3AF4"/>
    <w:rsid w:val="2CB353D8"/>
    <w:rsid w:val="380068FF"/>
    <w:rsid w:val="3FFC40D6"/>
    <w:rsid w:val="41E72BE1"/>
    <w:rsid w:val="484A28EB"/>
    <w:rsid w:val="4E250892"/>
    <w:rsid w:val="52217588"/>
    <w:rsid w:val="52B87DBA"/>
    <w:rsid w:val="580F3632"/>
    <w:rsid w:val="59212339"/>
    <w:rsid w:val="5B9A7B0D"/>
    <w:rsid w:val="5C425AB7"/>
    <w:rsid w:val="5D2C6BAD"/>
    <w:rsid w:val="5F06405A"/>
    <w:rsid w:val="61267866"/>
    <w:rsid w:val="61CA0379"/>
    <w:rsid w:val="62626831"/>
    <w:rsid w:val="63DD5915"/>
    <w:rsid w:val="6491384D"/>
    <w:rsid w:val="65AB4050"/>
    <w:rsid w:val="69E129E2"/>
    <w:rsid w:val="6ACF3FEA"/>
    <w:rsid w:val="6B8E36C3"/>
    <w:rsid w:val="6D460B14"/>
    <w:rsid w:val="6D7F77D5"/>
    <w:rsid w:val="720375CE"/>
    <w:rsid w:val="730679C5"/>
    <w:rsid w:val="76F35539"/>
    <w:rsid w:val="770944D7"/>
    <w:rsid w:val="7AA5101A"/>
    <w:rsid w:val="7DB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占位符文本1"/>
    <w:basedOn w:val="7"/>
    <w:semiHidden/>
    <w:qFormat/>
    <w:uiPriority w:val="99"/>
    <w:rPr>
      <w:color w:val="80808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7"/>
    <w:link w:val="2"/>
    <w:semiHidden/>
    <w:qFormat/>
    <w:uiPriority w:val="99"/>
    <w:rPr>
      <w:kern w:val="2"/>
      <w:sz w:val="18"/>
      <w:szCs w:val="24"/>
    </w:r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71CB-F0BC-47D7-BAFB-5EF11F0EB8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3500</Words>
  <Characters>3659</Characters>
  <Lines>27</Lines>
  <Paragraphs>7</Paragraphs>
  <TotalTime>22</TotalTime>
  <ScaleCrop>false</ScaleCrop>
  <LinksUpToDate>false</LinksUpToDate>
  <CharactersWithSpaces>3663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2016-09-29T11:24:00Z</dcterms:created>
  <dc:creator>user</dc:creator>
  <cp:lastModifiedBy>GX</cp:lastModifiedBy>
  <cp:lastPrinted>2021-09-13T01:21:00Z</cp:lastPrinted>
  <dcterms:modified xsi:type="dcterms:W3CDTF">2022-09-14T11:25:07Z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816962129C1C4C569ECBE5D90F36AE0F</vt:lpwstr>
  </property>
</Properties>
</file>